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60" w:lineRule="exact"/>
        <w:ind w:right="-96"/>
        <w:jc w:val="left"/>
        <w:rPr>
          <w:rFonts w:hint="default"/>
          <w:szCs w:val="21"/>
        </w:rPr>
      </w:pPr>
    </w:p>
    <w:p>
      <w:pPr>
        <w:rPr>
          <w:rFonts w:hint="default" w:ascii="仿宋_GB2312" w:hAnsi="宋体" w:eastAsia="仿宋_GB2312"/>
          <w:b/>
          <w:color w:val="000000"/>
          <w:kern w:val="0"/>
          <w:sz w:val="28"/>
        </w:rPr>
      </w:pPr>
      <w:bookmarkStart w:id="0" w:name="_GoBack"/>
      <w:bookmarkEnd w:id="0"/>
      <w:r>
        <w:rPr>
          <w:rFonts w:ascii="仿宋" w:hAnsi="仿宋" w:eastAsia="仿宋"/>
          <w:color w:val="000000"/>
          <w:kern w:val="0"/>
          <w:sz w:val="28"/>
        </w:rPr>
        <w:t xml:space="preserve">附件1： </w:t>
      </w:r>
      <w:r>
        <w:rPr>
          <w:rFonts w:ascii="仿宋_GB2312" w:hAnsi="宋体" w:eastAsia="仿宋_GB2312"/>
          <w:color w:val="000000"/>
          <w:kern w:val="0"/>
          <w:sz w:val="28"/>
        </w:rPr>
        <w:t xml:space="preserve">                      </w:t>
      </w:r>
      <w:r>
        <w:rPr>
          <w:rFonts w:ascii="仿宋_GB2312" w:hAnsi="宋体" w:eastAsia="仿宋_GB2312"/>
          <w:b/>
          <w:color w:val="000000"/>
          <w:kern w:val="0"/>
          <w:sz w:val="28"/>
        </w:rPr>
        <w:t xml:space="preserve">   新疆农业大学校级教研项目结题验收结果</w:t>
      </w:r>
    </w:p>
    <w:tbl>
      <w:tblPr>
        <w:tblStyle w:val="7"/>
        <w:tblW w:w="15945" w:type="dxa"/>
        <w:jc w:val="center"/>
        <w:tblInd w:w="-774" w:type="dxa"/>
        <w:tblLayout w:type="fixed"/>
        <w:tblCellMar>
          <w:top w:w="0" w:type="dxa"/>
          <w:left w:w="108" w:type="dxa"/>
          <w:bottom w:w="0" w:type="dxa"/>
          <w:right w:w="108" w:type="dxa"/>
        </w:tblCellMar>
      </w:tblPr>
      <w:tblGrid>
        <w:gridCol w:w="899"/>
        <w:gridCol w:w="3675"/>
        <w:gridCol w:w="1310"/>
        <w:gridCol w:w="2039"/>
        <w:gridCol w:w="3685"/>
        <w:gridCol w:w="961"/>
        <w:gridCol w:w="1276"/>
        <w:gridCol w:w="1380"/>
        <w:gridCol w:w="720"/>
      </w:tblGrid>
      <w:tr>
        <w:tblPrEx>
          <w:tblLayout w:type="fixed"/>
          <w:tblCellMar>
            <w:top w:w="0" w:type="dxa"/>
            <w:left w:w="108" w:type="dxa"/>
            <w:bottom w:w="0" w:type="dxa"/>
            <w:right w:w="108" w:type="dxa"/>
          </w:tblCellMar>
        </w:tblPrEx>
        <w:trPr>
          <w:trHeight w:val="20" w:hRule="atLeast"/>
          <w:tblHeader/>
          <w:jc w:val="center"/>
        </w:trPr>
        <w:tc>
          <w:tcPr>
            <w:tcW w:w="899"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序号</w:t>
            </w:r>
          </w:p>
        </w:tc>
        <w:tc>
          <w:tcPr>
            <w:tcW w:w="3675"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项目名称</w:t>
            </w:r>
          </w:p>
        </w:tc>
        <w:tc>
          <w:tcPr>
            <w:tcW w:w="131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申报单位</w:t>
            </w:r>
          </w:p>
        </w:tc>
        <w:tc>
          <w:tcPr>
            <w:tcW w:w="2039"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负责人</w:t>
            </w:r>
          </w:p>
        </w:tc>
        <w:tc>
          <w:tcPr>
            <w:tcW w:w="3685"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参加人</w:t>
            </w:r>
          </w:p>
        </w:tc>
        <w:tc>
          <w:tcPr>
            <w:tcW w:w="961"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立项时间</w:t>
            </w:r>
          </w:p>
        </w:tc>
        <w:tc>
          <w:tcPr>
            <w:tcW w:w="1276"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立项金额</w:t>
            </w:r>
            <w:r>
              <w:rPr>
                <w:rFonts w:hint="eastAsia" w:ascii="宋体" w:hAnsi="宋体"/>
                <w:b/>
                <w:color w:val="000000"/>
                <w:kern w:val="0"/>
                <w:sz w:val="18"/>
                <w:lang w:eastAsia="zh-CN"/>
              </w:rPr>
              <w:t>（万）</w:t>
            </w:r>
          </w:p>
        </w:tc>
        <w:tc>
          <w:tcPr>
            <w:tcW w:w="138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验收时间</w:t>
            </w:r>
          </w:p>
        </w:tc>
        <w:tc>
          <w:tcPr>
            <w:tcW w:w="72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验收结果</w:t>
            </w:r>
          </w:p>
        </w:tc>
      </w:tr>
      <w:tr>
        <w:tblPrEx>
          <w:tblLayout w:type="fixed"/>
          <w:tblCellMar>
            <w:top w:w="0" w:type="dxa"/>
            <w:left w:w="108" w:type="dxa"/>
            <w:bottom w:w="0" w:type="dxa"/>
            <w:right w:w="108" w:type="dxa"/>
          </w:tblCellMar>
        </w:tblPrEx>
        <w:trPr>
          <w:trHeight w:val="454" w:hRule="atLeast"/>
          <w:jc w:val="center"/>
        </w:trPr>
        <w:tc>
          <w:tcPr>
            <w:tcW w:w="89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default"/>
                <w:color w:val="000000" w:themeColor="text1"/>
                <w:kern w:val="0"/>
                <w:sz w:val="18"/>
              </w:rPr>
            </w:pPr>
            <w:r>
              <w:rPr>
                <w:rFonts w:ascii="宋体" w:hAnsi="宋体"/>
                <w:color w:val="000000" w:themeColor="text1"/>
                <w:kern w:val="0"/>
                <w:sz w:val="18"/>
              </w:rPr>
              <w:t>1</w:t>
            </w:r>
          </w:p>
        </w:tc>
        <w:tc>
          <w:tcPr>
            <w:tcW w:w="367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20"/>
                <w:szCs w:val="20"/>
                <w:u w:val="none"/>
                <w:lang w:val="en-US" w:eastAsia="zh-CN" w:bidi="ar"/>
              </w:rPr>
              <w:t>新疆农业大学与国际国内及一带一路周边国家知名大学农学本科专业设置和课程体系比较</w:t>
            </w:r>
          </w:p>
        </w:tc>
        <w:tc>
          <w:tcPr>
            <w:tcW w:w="131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农学院</w:t>
            </w:r>
          </w:p>
        </w:tc>
        <w:tc>
          <w:tcPr>
            <w:tcW w:w="2039"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20"/>
                <w:szCs w:val="20"/>
                <w:u w:val="none"/>
                <w:lang w:val="en-US" w:eastAsia="zh-CN" w:bidi="ar"/>
              </w:rPr>
              <w:t>康定明</w:t>
            </w:r>
          </w:p>
        </w:tc>
        <w:tc>
          <w:tcPr>
            <w:tcW w:w="368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20"/>
                <w:szCs w:val="20"/>
                <w:u w:val="none"/>
                <w:lang w:val="en-US" w:eastAsia="zh-CN" w:bidi="ar"/>
              </w:rPr>
              <w:t>占东霞、夏红飞</w:t>
            </w:r>
          </w:p>
        </w:tc>
        <w:tc>
          <w:tcPr>
            <w:tcW w:w="96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2018.3</w:t>
            </w:r>
          </w:p>
        </w:tc>
        <w:tc>
          <w:tcPr>
            <w:tcW w:w="1276"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20"/>
                <w:szCs w:val="20"/>
                <w:u w:val="none"/>
                <w:lang w:val="en-US" w:eastAsia="zh-CN" w:bidi="ar"/>
              </w:rPr>
              <w:t>3</w:t>
            </w:r>
          </w:p>
        </w:tc>
        <w:tc>
          <w:tcPr>
            <w:tcW w:w="138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2018.12</w:t>
            </w:r>
          </w:p>
        </w:tc>
        <w:tc>
          <w:tcPr>
            <w:tcW w:w="720" w:type="dxa"/>
            <w:tcBorders>
              <w:top w:val="nil"/>
              <w:left w:val="nil"/>
              <w:bottom w:val="single" w:color="auto" w:sz="8" w:space="0"/>
              <w:right w:val="single" w:color="auto" w:sz="8" w:space="0"/>
            </w:tcBorders>
            <w:vAlign w:val="center"/>
          </w:tcPr>
          <w:p>
            <w:pPr>
              <w:spacing w:line="280" w:lineRule="exact"/>
              <w:jc w:val="center"/>
              <w:rPr>
                <w:rFonts w:hint="eastAsia" w:eastAsia="宋体"/>
                <w:color w:val="000000" w:themeColor="text1"/>
                <w:sz w:val="18"/>
                <w:szCs w:val="18"/>
                <w:lang w:eastAsia="zh-CN"/>
              </w:rPr>
            </w:pPr>
            <w:r>
              <w:rPr>
                <w:rFonts w:hint="eastAsia"/>
                <w:color w:val="000000" w:themeColor="text1"/>
                <w:sz w:val="18"/>
                <w:szCs w:val="18"/>
                <w:lang w:eastAsia="zh-CN"/>
              </w:rPr>
              <w:t>合格</w:t>
            </w:r>
          </w:p>
        </w:tc>
      </w:tr>
      <w:tr>
        <w:tblPrEx>
          <w:tblLayout w:type="fixed"/>
          <w:tblCellMar>
            <w:top w:w="0" w:type="dxa"/>
            <w:left w:w="108" w:type="dxa"/>
            <w:bottom w:w="0" w:type="dxa"/>
            <w:right w:w="108" w:type="dxa"/>
          </w:tblCellMar>
        </w:tblPrEx>
        <w:trPr>
          <w:trHeight w:val="454" w:hRule="atLeast"/>
          <w:jc w:val="center"/>
        </w:trPr>
        <w:tc>
          <w:tcPr>
            <w:tcW w:w="89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default"/>
                <w:color w:val="000000" w:themeColor="text1"/>
                <w:kern w:val="0"/>
                <w:sz w:val="18"/>
              </w:rPr>
            </w:pPr>
            <w:r>
              <w:rPr>
                <w:rFonts w:ascii="宋体" w:hAnsi="宋体"/>
                <w:color w:val="000000" w:themeColor="text1"/>
                <w:kern w:val="0"/>
                <w:sz w:val="18"/>
              </w:rPr>
              <w:t>2</w:t>
            </w:r>
          </w:p>
        </w:tc>
        <w:tc>
          <w:tcPr>
            <w:tcW w:w="3675"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基于翻转课堂的基础生物化学课程教学模式改革及实施</w:t>
            </w:r>
          </w:p>
        </w:tc>
        <w:tc>
          <w:tcPr>
            <w:tcW w:w="1310"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农学院</w:t>
            </w:r>
          </w:p>
        </w:tc>
        <w:tc>
          <w:tcPr>
            <w:tcW w:w="2039"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苏豫梅</w:t>
            </w:r>
          </w:p>
        </w:tc>
        <w:tc>
          <w:tcPr>
            <w:tcW w:w="368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张桦、顾爱星、刘晓东、夏木斯亚·卡坎</w:t>
            </w:r>
          </w:p>
        </w:tc>
        <w:tc>
          <w:tcPr>
            <w:tcW w:w="961"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2015.12</w:t>
            </w:r>
          </w:p>
        </w:tc>
        <w:tc>
          <w:tcPr>
            <w:tcW w:w="1276"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0.5</w:t>
            </w:r>
          </w:p>
        </w:tc>
        <w:tc>
          <w:tcPr>
            <w:tcW w:w="138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2018.12</w:t>
            </w:r>
          </w:p>
        </w:tc>
        <w:tc>
          <w:tcPr>
            <w:tcW w:w="720" w:type="dxa"/>
            <w:tcBorders>
              <w:top w:val="nil"/>
              <w:left w:val="nil"/>
              <w:bottom w:val="single" w:color="auto" w:sz="8" w:space="0"/>
              <w:right w:val="single" w:color="auto" w:sz="8" w:space="0"/>
            </w:tcBorders>
            <w:vAlign w:val="center"/>
          </w:tcPr>
          <w:p>
            <w:pPr>
              <w:spacing w:line="280" w:lineRule="exact"/>
              <w:jc w:val="center"/>
              <w:rPr>
                <w:rFonts w:hint="default"/>
                <w:color w:val="000000" w:themeColor="text1"/>
                <w:sz w:val="18"/>
                <w:szCs w:val="18"/>
              </w:rPr>
            </w:pPr>
            <w:r>
              <w:rPr>
                <w:rFonts w:hint="eastAsia"/>
                <w:color w:val="000000" w:themeColor="text1"/>
                <w:sz w:val="18"/>
                <w:szCs w:val="18"/>
                <w:lang w:eastAsia="zh-CN"/>
              </w:rPr>
              <w:t>优秀</w:t>
            </w:r>
          </w:p>
        </w:tc>
      </w:tr>
      <w:tr>
        <w:tblPrEx>
          <w:tblLayout w:type="fixed"/>
          <w:tblCellMar>
            <w:top w:w="0" w:type="dxa"/>
            <w:left w:w="108" w:type="dxa"/>
            <w:bottom w:w="0" w:type="dxa"/>
            <w:right w:w="108" w:type="dxa"/>
          </w:tblCellMar>
        </w:tblPrEx>
        <w:trPr>
          <w:trHeight w:val="454" w:hRule="atLeast"/>
          <w:jc w:val="center"/>
        </w:trPr>
        <w:tc>
          <w:tcPr>
            <w:tcW w:w="89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default"/>
                <w:color w:val="000000" w:themeColor="text1"/>
                <w:kern w:val="0"/>
                <w:sz w:val="18"/>
              </w:rPr>
            </w:pPr>
            <w:r>
              <w:rPr>
                <w:rFonts w:ascii="宋体" w:hAnsi="宋体"/>
                <w:color w:val="000000" w:themeColor="text1"/>
                <w:kern w:val="0"/>
                <w:sz w:val="18"/>
              </w:rPr>
              <w:t>3</w:t>
            </w:r>
          </w:p>
        </w:tc>
        <w:tc>
          <w:tcPr>
            <w:tcW w:w="3675"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现代植物检验检疫技术课程建设</w:t>
            </w:r>
          </w:p>
        </w:tc>
        <w:tc>
          <w:tcPr>
            <w:tcW w:w="1310"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农学院</w:t>
            </w:r>
          </w:p>
        </w:tc>
        <w:tc>
          <w:tcPr>
            <w:tcW w:w="2039"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韩剑</w:t>
            </w:r>
          </w:p>
        </w:tc>
        <w:tc>
          <w:tcPr>
            <w:tcW w:w="368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赵娜娜、罗明、刘琦、马德英</w:t>
            </w:r>
          </w:p>
        </w:tc>
        <w:tc>
          <w:tcPr>
            <w:tcW w:w="961"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2016.12</w:t>
            </w:r>
          </w:p>
        </w:tc>
        <w:tc>
          <w:tcPr>
            <w:tcW w:w="1276"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0.2</w:t>
            </w:r>
          </w:p>
        </w:tc>
        <w:tc>
          <w:tcPr>
            <w:tcW w:w="138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2018.12</w:t>
            </w:r>
          </w:p>
        </w:tc>
        <w:tc>
          <w:tcPr>
            <w:tcW w:w="720" w:type="dxa"/>
            <w:tcBorders>
              <w:top w:val="nil"/>
              <w:left w:val="nil"/>
              <w:bottom w:val="single" w:color="auto" w:sz="8" w:space="0"/>
              <w:right w:val="single" w:color="auto" w:sz="8" w:space="0"/>
            </w:tcBorders>
            <w:vAlign w:val="center"/>
          </w:tcPr>
          <w:p>
            <w:pPr>
              <w:spacing w:line="280" w:lineRule="exact"/>
              <w:jc w:val="center"/>
              <w:rPr>
                <w:rFonts w:hint="eastAsia" w:eastAsia="宋体"/>
                <w:color w:val="000000" w:themeColor="text1"/>
                <w:sz w:val="20"/>
                <w:lang w:eastAsia="zh-CN"/>
              </w:rPr>
            </w:pPr>
            <w:r>
              <w:rPr>
                <w:rFonts w:hint="eastAsia"/>
                <w:color w:val="000000" w:themeColor="text1"/>
                <w:sz w:val="20"/>
                <w:lang w:eastAsia="zh-CN"/>
              </w:rPr>
              <w:t>撤项</w:t>
            </w:r>
          </w:p>
        </w:tc>
      </w:tr>
      <w:tr>
        <w:tblPrEx>
          <w:tblLayout w:type="fixed"/>
          <w:tblCellMar>
            <w:top w:w="0" w:type="dxa"/>
            <w:left w:w="108" w:type="dxa"/>
            <w:bottom w:w="0" w:type="dxa"/>
            <w:right w:w="108" w:type="dxa"/>
          </w:tblCellMar>
        </w:tblPrEx>
        <w:trPr>
          <w:trHeight w:val="454" w:hRule="atLeast"/>
          <w:jc w:val="center"/>
        </w:trPr>
        <w:tc>
          <w:tcPr>
            <w:tcW w:w="89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default"/>
                <w:color w:val="000000" w:themeColor="text1"/>
                <w:kern w:val="0"/>
                <w:sz w:val="18"/>
              </w:rPr>
            </w:pPr>
            <w:r>
              <w:rPr>
                <w:rFonts w:ascii="宋体" w:hAnsi="宋体"/>
                <w:color w:val="000000" w:themeColor="text1"/>
                <w:kern w:val="0"/>
                <w:sz w:val="18"/>
              </w:rPr>
              <w:t>4</w:t>
            </w:r>
          </w:p>
        </w:tc>
        <w:tc>
          <w:tcPr>
            <w:tcW w:w="3675"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农学院毕业生发展状况及用人单位的满意度调查研究</w:t>
            </w:r>
          </w:p>
        </w:tc>
        <w:tc>
          <w:tcPr>
            <w:tcW w:w="1310"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农学院</w:t>
            </w:r>
          </w:p>
        </w:tc>
        <w:tc>
          <w:tcPr>
            <w:tcW w:w="2039"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刘超</w:t>
            </w:r>
          </w:p>
        </w:tc>
        <w:tc>
          <w:tcPr>
            <w:tcW w:w="368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20"/>
                <w:szCs w:val="20"/>
                <w:u w:val="none"/>
                <w:lang w:val="en-US" w:eastAsia="zh-CN" w:bidi="ar"/>
              </w:rPr>
              <w:t>顾爱星、耿洪伟、王娜、张树娟</w:t>
            </w:r>
          </w:p>
        </w:tc>
        <w:tc>
          <w:tcPr>
            <w:tcW w:w="961"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2018.3</w:t>
            </w:r>
          </w:p>
        </w:tc>
        <w:tc>
          <w:tcPr>
            <w:tcW w:w="1276"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0.3</w:t>
            </w:r>
          </w:p>
        </w:tc>
        <w:tc>
          <w:tcPr>
            <w:tcW w:w="138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2018.12</w:t>
            </w:r>
          </w:p>
        </w:tc>
        <w:tc>
          <w:tcPr>
            <w:tcW w:w="720" w:type="dxa"/>
            <w:tcBorders>
              <w:top w:val="nil"/>
              <w:left w:val="nil"/>
              <w:bottom w:val="single" w:color="auto" w:sz="8" w:space="0"/>
              <w:right w:val="single" w:color="auto" w:sz="8" w:space="0"/>
            </w:tcBorders>
            <w:vAlign w:val="center"/>
          </w:tcPr>
          <w:p>
            <w:pPr>
              <w:autoSpaceDN w:val="0"/>
              <w:jc w:val="center"/>
              <w:rPr>
                <w:rFonts w:hint="eastAsia" w:eastAsia="宋体"/>
                <w:color w:val="000000" w:themeColor="text1"/>
                <w:sz w:val="18"/>
                <w:szCs w:val="18"/>
                <w:lang w:eastAsia="zh-CN"/>
              </w:rPr>
            </w:pPr>
            <w:r>
              <w:rPr>
                <w:rFonts w:hint="eastAsia"/>
                <w:color w:val="000000" w:themeColor="text1"/>
                <w:sz w:val="18"/>
                <w:szCs w:val="18"/>
                <w:lang w:eastAsia="zh-CN"/>
              </w:rPr>
              <w:t>合格</w:t>
            </w:r>
          </w:p>
        </w:tc>
      </w:tr>
      <w:tr>
        <w:tblPrEx>
          <w:tblLayout w:type="fixed"/>
          <w:tblCellMar>
            <w:top w:w="0" w:type="dxa"/>
            <w:left w:w="108" w:type="dxa"/>
            <w:bottom w:w="0" w:type="dxa"/>
            <w:right w:w="108" w:type="dxa"/>
          </w:tblCellMar>
        </w:tblPrEx>
        <w:trPr>
          <w:trHeight w:val="454" w:hRule="atLeast"/>
          <w:jc w:val="center"/>
        </w:trPr>
        <w:tc>
          <w:tcPr>
            <w:tcW w:w="89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default"/>
                <w:color w:val="000000" w:themeColor="text1"/>
                <w:kern w:val="0"/>
                <w:sz w:val="18"/>
              </w:rPr>
            </w:pPr>
            <w:r>
              <w:rPr>
                <w:rFonts w:ascii="宋体" w:hAnsi="宋体"/>
                <w:color w:val="000000" w:themeColor="text1"/>
                <w:kern w:val="0"/>
                <w:sz w:val="18"/>
              </w:rPr>
              <w:t>5</w:t>
            </w:r>
          </w:p>
        </w:tc>
        <w:tc>
          <w:tcPr>
            <w:tcW w:w="3675"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基于昆虫学实践建设协同创新育人平台</w:t>
            </w:r>
          </w:p>
        </w:tc>
        <w:tc>
          <w:tcPr>
            <w:tcW w:w="1310"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农学院</w:t>
            </w:r>
          </w:p>
        </w:tc>
        <w:tc>
          <w:tcPr>
            <w:tcW w:w="2039"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牙森·沙力</w:t>
            </w:r>
          </w:p>
        </w:tc>
        <w:tc>
          <w:tcPr>
            <w:tcW w:w="368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20"/>
                <w:szCs w:val="20"/>
                <w:u w:val="none"/>
                <w:lang w:val="en-US" w:eastAsia="zh-CN" w:bidi="ar"/>
              </w:rPr>
              <w:t>赵莉、赵娜娜</w:t>
            </w:r>
          </w:p>
        </w:tc>
        <w:tc>
          <w:tcPr>
            <w:tcW w:w="961"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2018.3</w:t>
            </w:r>
          </w:p>
        </w:tc>
        <w:tc>
          <w:tcPr>
            <w:tcW w:w="1276"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0.2</w:t>
            </w:r>
          </w:p>
        </w:tc>
        <w:tc>
          <w:tcPr>
            <w:tcW w:w="138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2018.12</w:t>
            </w:r>
          </w:p>
        </w:tc>
        <w:tc>
          <w:tcPr>
            <w:tcW w:w="720" w:type="dxa"/>
            <w:tcBorders>
              <w:top w:val="nil"/>
              <w:left w:val="nil"/>
              <w:bottom w:val="single" w:color="auto" w:sz="8" w:space="0"/>
              <w:right w:val="single" w:color="auto" w:sz="8" w:space="0"/>
            </w:tcBorders>
            <w:vAlign w:val="center"/>
          </w:tcPr>
          <w:p>
            <w:pPr>
              <w:jc w:val="center"/>
              <w:rPr>
                <w:rFonts w:hint="eastAsia" w:eastAsia="宋体"/>
                <w:color w:val="000000" w:themeColor="text1"/>
                <w:sz w:val="18"/>
                <w:szCs w:val="18"/>
                <w:lang w:eastAsia="zh-CN"/>
              </w:rPr>
            </w:pPr>
            <w:r>
              <w:rPr>
                <w:rFonts w:hint="eastAsia"/>
                <w:color w:val="000000" w:themeColor="text1"/>
                <w:sz w:val="18"/>
                <w:szCs w:val="18"/>
                <w:lang w:eastAsia="zh-CN"/>
              </w:rPr>
              <w:t>合格</w:t>
            </w:r>
          </w:p>
        </w:tc>
      </w:tr>
      <w:tr>
        <w:tblPrEx>
          <w:tblLayout w:type="fixed"/>
          <w:tblCellMar>
            <w:top w:w="0" w:type="dxa"/>
            <w:left w:w="108" w:type="dxa"/>
            <w:bottom w:w="0" w:type="dxa"/>
            <w:right w:w="108" w:type="dxa"/>
          </w:tblCellMar>
        </w:tblPrEx>
        <w:trPr>
          <w:trHeight w:val="454" w:hRule="atLeast"/>
          <w:jc w:val="center"/>
        </w:trPr>
        <w:tc>
          <w:tcPr>
            <w:tcW w:w="89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default"/>
                <w:color w:val="000000" w:themeColor="text1"/>
                <w:kern w:val="0"/>
                <w:sz w:val="18"/>
              </w:rPr>
            </w:pPr>
            <w:r>
              <w:rPr>
                <w:rFonts w:ascii="宋体" w:hAnsi="宋体"/>
                <w:color w:val="000000" w:themeColor="text1"/>
                <w:kern w:val="0"/>
                <w:sz w:val="18"/>
              </w:rPr>
              <w:t>6</w:t>
            </w:r>
          </w:p>
        </w:tc>
        <w:tc>
          <w:tcPr>
            <w:tcW w:w="3675"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昆虫生态与预测预报课程改革</w:t>
            </w:r>
          </w:p>
        </w:tc>
        <w:tc>
          <w:tcPr>
            <w:tcW w:w="1310"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农学院</w:t>
            </w:r>
          </w:p>
        </w:tc>
        <w:tc>
          <w:tcPr>
            <w:tcW w:w="2039"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李超</w:t>
            </w:r>
          </w:p>
        </w:tc>
        <w:tc>
          <w:tcPr>
            <w:tcW w:w="3685"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ascii="宋体" w:hAnsi="宋体" w:cs="宋体"/>
                <w:color w:val="000000" w:themeColor="text1"/>
                <w:sz w:val="18"/>
                <w:szCs w:val="18"/>
              </w:rPr>
            </w:pPr>
            <w:r>
              <w:rPr>
                <w:rFonts w:hint="eastAsia" w:ascii="宋体" w:hAnsi="宋体" w:eastAsia="宋体" w:cs="宋体"/>
                <w:i w:val="0"/>
                <w:color w:val="000000" w:themeColor="text1"/>
                <w:kern w:val="0"/>
                <w:sz w:val="20"/>
                <w:szCs w:val="20"/>
                <w:u w:val="none"/>
                <w:lang w:val="en-US" w:eastAsia="zh-CN" w:bidi="ar"/>
              </w:rPr>
              <w:t>安尼瓦尔·库尔班、高有华</w:t>
            </w:r>
          </w:p>
        </w:tc>
        <w:tc>
          <w:tcPr>
            <w:tcW w:w="961"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2018.3</w:t>
            </w:r>
          </w:p>
        </w:tc>
        <w:tc>
          <w:tcPr>
            <w:tcW w:w="1276"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0.15</w:t>
            </w:r>
          </w:p>
        </w:tc>
        <w:tc>
          <w:tcPr>
            <w:tcW w:w="138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color w:val="000000" w:themeColor="text1"/>
                <w:sz w:val="18"/>
                <w:szCs w:val="18"/>
              </w:rPr>
            </w:pPr>
            <w:r>
              <w:rPr>
                <w:rFonts w:hint="eastAsia" w:ascii="宋体" w:hAnsi="宋体" w:eastAsia="宋体" w:cs="宋体"/>
                <w:i w:val="0"/>
                <w:color w:val="000000" w:themeColor="text1"/>
                <w:kern w:val="0"/>
                <w:sz w:val="18"/>
                <w:szCs w:val="18"/>
                <w:u w:val="none"/>
                <w:lang w:val="en-US" w:eastAsia="zh-CN" w:bidi="ar"/>
              </w:rPr>
              <w:t>2018.12</w:t>
            </w:r>
          </w:p>
        </w:tc>
        <w:tc>
          <w:tcPr>
            <w:tcW w:w="720" w:type="dxa"/>
            <w:tcBorders>
              <w:top w:val="nil"/>
              <w:left w:val="nil"/>
              <w:bottom w:val="single" w:color="auto" w:sz="8" w:space="0"/>
              <w:right w:val="single" w:color="auto" w:sz="8" w:space="0"/>
            </w:tcBorders>
            <w:vAlign w:val="center"/>
          </w:tcPr>
          <w:p>
            <w:pPr>
              <w:autoSpaceDN w:val="0"/>
              <w:jc w:val="center"/>
              <w:textAlignment w:val="bottom"/>
              <w:rPr>
                <w:rFonts w:hint="eastAsia" w:eastAsia="宋体"/>
                <w:color w:val="000000" w:themeColor="text1"/>
                <w:sz w:val="18"/>
                <w:szCs w:val="18"/>
                <w:lang w:eastAsia="zh-CN"/>
              </w:rPr>
            </w:pPr>
            <w:r>
              <w:rPr>
                <w:rFonts w:hint="eastAsia"/>
                <w:color w:val="000000" w:themeColor="text1"/>
                <w:sz w:val="18"/>
                <w:szCs w:val="18"/>
                <w:lang w:eastAsia="zh-CN"/>
              </w:rPr>
              <w:t>优秀</w:t>
            </w:r>
          </w:p>
        </w:tc>
      </w:tr>
    </w:tbl>
    <w:p>
      <w:pPr>
        <w:spacing w:line="560" w:lineRule="exact"/>
        <w:rPr>
          <w:rFonts w:ascii="仿宋" w:hAnsi="仿宋" w:eastAsia="仿宋"/>
          <w:color w:val="000000"/>
          <w:kern w:val="0"/>
          <w:sz w:val="28"/>
        </w:rPr>
      </w:pPr>
      <w:r>
        <w:rPr>
          <w:rFonts w:ascii="仿宋" w:hAnsi="仿宋" w:eastAsia="仿宋"/>
          <w:color w:val="000000"/>
          <w:kern w:val="0"/>
          <w:sz w:val="28"/>
        </w:rPr>
        <w:t>附件</w:t>
      </w:r>
      <w:r>
        <w:rPr>
          <w:rFonts w:hint="eastAsia" w:ascii="仿宋" w:hAnsi="仿宋" w:eastAsia="仿宋"/>
          <w:color w:val="000000"/>
          <w:kern w:val="0"/>
          <w:sz w:val="28"/>
          <w:lang w:val="en-US" w:eastAsia="zh-CN"/>
        </w:rPr>
        <w:t>2</w:t>
      </w:r>
      <w:r>
        <w:rPr>
          <w:rFonts w:ascii="仿宋" w:hAnsi="仿宋" w:eastAsia="仿宋"/>
          <w:color w:val="000000"/>
          <w:kern w:val="0"/>
          <w:sz w:val="28"/>
        </w:rPr>
        <w:t>：</w:t>
      </w:r>
    </w:p>
    <w:p>
      <w:pPr>
        <w:jc w:val="center"/>
        <w:rPr>
          <w:rFonts w:hint="default" w:ascii="仿宋_GB2312" w:hAnsi="宋体" w:eastAsia="仿宋_GB2312"/>
          <w:b/>
          <w:color w:val="000000"/>
          <w:kern w:val="0"/>
          <w:sz w:val="28"/>
        </w:rPr>
      </w:pPr>
      <w:r>
        <w:rPr>
          <w:rFonts w:ascii="仿宋_GB2312" w:hAnsi="宋体" w:eastAsia="仿宋_GB2312"/>
          <w:b/>
          <w:color w:val="000000"/>
          <w:kern w:val="0"/>
          <w:sz w:val="28"/>
        </w:rPr>
        <w:t>新疆农业大学校级教研项目</w:t>
      </w:r>
      <w:r>
        <w:rPr>
          <w:rFonts w:hint="eastAsia" w:ascii="仿宋_GB2312" w:hAnsi="宋体" w:eastAsia="仿宋_GB2312"/>
          <w:b/>
          <w:color w:val="000000"/>
          <w:kern w:val="0"/>
          <w:sz w:val="28"/>
          <w:lang w:eastAsia="zh-CN"/>
        </w:rPr>
        <w:t>（课程思政专项）</w:t>
      </w:r>
      <w:r>
        <w:rPr>
          <w:rFonts w:ascii="仿宋_GB2312" w:hAnsi="宋体" w:eastAsia="仿宋_GB2312"/>
          <w:b/>
          <w:color w:val="000000"/>
          <w:kern w:val="0"/>
          <w:sz w:val="28"/>
        </w:rPr>
        <w:t>结题验收结果</w:t>
      </w:r>
    </w:p>
    <w:tbl>
      <w:tblPr>
        <w:tblStyle w:val="7"/>
        <w:tblW w:w="15629" w:type="dxa"/>
        <w:jc w:val="center"/>
        <w:tblInd w:w="-774" w:type="dxa"/>
        <w:tblLayout w:type="fixed"/>
        <w:tblCellMar>
          <w:top w:w="0" w:type="dxa"/>
          <w:left w:w="108" w:type="dxa"/>
          <w:bottom w:w="0" w:type="dxa"/>
          <w:right w:w="108" w:type="dxa"/>
        </w:tblCellMar>
      </w:tblPr>
      <w:tblGrid>
        <w:gridCol w:w="899"/>
        <w:gridCol w:w="3675"/>
        <w:gridCol w:w="1310"/>
        <w:gridCol w:w="2039"/>
        <w:gridCol w:w="3685"/>
        <w:gridCol w:w="961"/>
        <w:gridCol w:w="960"/>
        <w:gridCol w:w="1380"/>
        <w:gridCol w:w="720"/>
      </w:tblGrid>
      <w:tr>
        <w:tblPrEx>
          <w:tblLayout w:type="fixed"/>
          <w:tblCellMar>
            <w:top w:w="0" w:type="dxa"/>
            <w:left w:w="108" w:type="dxa"/>
            <w:bottom w:w="0" w:type="dxa"/>
            <w:right w:w="108" w:type="dxa"/>
          </w:tblCellMar>
        </w:tblPrEx>
        <w:trPr>
          <w:trHeight w:val="20" w:hRule="atLeast"/>
          <w:tblHeader/>
          <w:jc w:val="center"/>
        </w:trPr>
        <w:tc>
          <w:tcPr>
            <w:tcW w:w="899"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序号</w:t>
            </w:r>
          </w:p>
        </w:tc>
        <w:tc>
          <w:tcPr>
            <w:tcW w:w="3675"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项目名称</w:t>
            </w:r>
          </w:p>
        </w:tc>
        <w:tc>
          <w:tcPr>
            <w:tcW w:w="131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申报单位</w:t>
            </w:r>
          </w:p>
        </w:tc>
        <w:tc>
          <w:tcPr>
            <w:tcW w:w="2039"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负责人</w:t>
            </w:r>
          </w:p>
        </w:tc>
        <w:tc>
          <w:tcPr>
            <w:tcW w:w="3685"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参加人</w:t>
            </w:r>
          </w:p>
        </w:tc>
        <w:tc>
          <w:tcPr>
            <w:tcW w:w="961"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立项时间</w:t>
            </w:r>
          </w:p>
        </w:tc>
        <w:tc>
          <w:tcPr>
            <w:tcW w:w="96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立项金额</w:t>
            </w:r>
            <w:r>
              <w:rPr>
                <w:rFonts w:hint="eastAsia" w:ascii="宋体" w:hAnsi="宋体"/>
                <w:b/>
                <w:color w:val="000000"/>
                <w:kern w:val="0"/>
                <w:sz w:val="18"/>
                <w:lang w:eastAsia="zh-CN"/>
              </w:rPr>
              <w:t>（万）</w:t>
            </w:r>
          </w:p>
        </w:tc>
        <w:tc>
          <w:tcPr>
            <w:tcW w:w="138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验收时间</w:t>
            </w:r>
          </w:p>
        </w:tc>
        <w:tc>
          <w:tcPr>
            <w:tcW w:w="72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default"/>
                <w:b/>
                <w:color w:val="000000"/>
                <w:kern w:val="0"/>
                <w:sz w:val="18"/>
              </w:rPr>
            </w:pPr>
            <w:r>
              <w:rPr>
                <w:rFonts w:ascii="宋体" w:hAnsi="宋体"/>
                <w:b/>
                <w:color w:val="000000"/>
                <w:kern w:val="0"/>
                <w:sz w:val="18"/>
              </w:rPr>
              <w:t>验收结果</w:t>
            </w:r>
          </w:p>
        </w:tc>
      </w:tr>
      <w:tr>
        <w:tblPrEx>
          <w:tblLayout w:type="fixed"/>
          <w:tblCellMar>
            <w:top w:w="0" w:type="dxa"/>
            <w:left w:w="108" w:type="dxa"/>
            <w:bottom w:w="0" w:type="dxa"/>
            <w:right w:w="108" w:type="dxa"/>
          </w:tblCellMar>
        </w:tblPrEx>
        <w:trPr>
          <w:trHeight w:val="454" w:hRule="atLeast"/>
          <w:jc w:val="center"/>
        </w:trPr>
        <w:tc>
          <w:tcPr>
            <w:tcW w:w="899"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eastAsia="宋体"/>
                <w:color w:val="000000" w:themeColor="text1"/>
                <w:kern w:val="0"/>
                <w:sz w:val="18"/>
                <w:lang w:eastAsia="zh-CN"/>
              </w:rPr>
            </w:pPr>
            <w:r>
              <w:rPr>
                <w:rFonts w:hint="eastAsia" w:ascii="宋体" w:hAnsi="宋体"/>
                <w:color w:val="000000" w:themeColor="text1"/>
                <w:kern w:val="0"/>
                <w:sz w:val="18"/>
                <w:lang w:val="en-US" w:eastAsia="zh-CN"/>
              </w:rPr>
              <w:t>1</w:t>
            </w:r>
          </w:p>
        </w:tc>
        <w:tc>
          <w:tcPr>
            <w:tcW w:w="3675"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农业微生物学</w:t>
            </w:r>
          </w:p>
        </w:tc>
        <w:tc>
          <w:tcPr>
            <w:tcW w:w="1310"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农学院</w:t>
            </w:r>
          </w:p>
        </w:tc>
        <w:tc>
          <w:tcPr>
            <w:tcW w:w="2039"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顾爱星</w:t>
            </w:r>
          </w:p>
        </w:tc>
        <w:tc>
          <w:tcPr>
            <w:tcW w:w="3685" w:type="dxa"/>
            <w:tcBorders>
              <w:top w:val="nil"/>
              <w:left w:val="nil"/>
              <w:bottom w:val="single" w:color="auto" w:sz="8" w:space="0"/>
              <w:right w:val="single" w:color="auto" w:sz="8" w:space="0"/>
            </w:tcBorders>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罗明、韩剑、阿肯努尔·达那别克、夏红飞</w:t>
            </w:r>
          </w:p>
        </w:tc>
        <w:tc>
          <w:tcPr>
            <w:tcW w:w="96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color w:val="000000" w:themeColor="text1"/>
                <w:sz w:val="18"/>
                <w:szCs w:val="18"/>
              </w:rPr>
            </w:pPr>
            <w:r>
              <w:rPr>
                <w:rFonts w:hint="eastAsia" w:ascii="宋体" w:hAnsi="宋体" w:eastAsia="宋体" w:cs="宋体"/>
                <w:i w:val="0"/>
                <w:color w:val="000000"/>
                <w:kern w:val="0"/>
                <w:sz w:val="18"/>
                <w:szCs w:val="18"/>
                <w:u w:val="none"/>
                <w:lang w:val="en-US" w:eastAsia="zh-CN" w:bidi="ar"/>
              </w:rPr>
              <w:t>2018.6</w:t>
            </w:r>
          </w:p>
        </w:tc>
        <w:tc>
          <w:tcPr>
            <w:tcW w:w="96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color w:val="000000" w:themeColor="text1"/>
                <w:sz w:val="18"/>
                <w:szCs w:val="18"/>
              </w:rPr>
            </w:pPr>
            <w:r>
              <w:rPr>
                <w:rFonts w:hint="eastAsia" w:ascii="宋体" w:hAnsi="宋体" w:eastAsia="宋体" w:cs="宋体"/>
                <w:i w:val="0"/>
                <w:color w:val="000000"/>
                <w:kern w:val="0"/>
                <w:sz w:val="18"/>
                <w:szCs w:val="18"/>
                <w:u w:val="none"/>
                <w:lang w:val="en-US" w:eastAsia="zh-CN" w:bidi="ar"/>
              </w:rPr>
              <w:t>0.1</w:t>
            </w:r>
          </w:p>
        </w:tc>
        <w:tc>
          <w:tcPr>
            <w:tcW w:w="138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default"/>
                <w:color w:val="000000" w:themeColor="text1"/>
                <w:sz w:val="18"/>
                <w:szCs w:val="18"/>
              </w:rPr>
            </w:pPr>
            <w:r>
              <w:rPr>
                <w:rFonts w:hint="eastAsia" w:ascii="宋体" w:hAnsi="宋体" w:eastAsia="宋体" w:cs="宋体"/>
                <w:i w:val="0"/>
                <w:color w:val="000000"/>
                <w:kern w:val="0"/>
                <w:sz w:val="18"/>
                <w:szCs w:val="18"/>
                <w:u w:val="none"/>
                <w:lang w:val="en-US" w:eastAsia="zh-CN" w:bidi="ar"/>
              </w:rPr>
              <w:t>2018.12</w:t>
            </w:r>
          </w:p>
        </w:tc>
        <w:tc>
          <w:tcPr>
            <w:tcW w:w="720" w:type="dxa"/>
            <w:tcBorders>
              <w:top w:val="nil"/>
              <w:left w:val="nil"/>
              <w:bottom w:val="single" w:color="auto" w:sz="8" w:space="0"/>
              <w:right w:val="single" w:color="auto" w:sz="8" w:space="0"/>
            </w:tcBorders>
            <w:vAlign w:val="center"/>
          </w:tcPr>
          <w:p>
            <w:pPr>
              <w:spacing w:line="280" w:lineRule="exact"/>
              <w:jc w:val="center"/>
              <w:rPr>
                <w:rFonts w:hint="eastAsia" w:eastAsia="宋体"/>
                <w:color w:val="000000" w:themeColor="text1"/>
                <w:sz w:val="18"/>
                <w:szCs w:val="18"/>
                <w:lang w:eastAsia="zh-CN"/>
              </w:rPr>
            </w:pPr>
            <w:r>
              <w:rPr>
                <w:rFonts w:hint="eastAsia"/>
                <w:color w:val="000000" w:themeColor="text1"/>
                <w:sz w:val="18"/>
                <w:szCs w:val="18"/>
                <w:lang w:eastAsia="zh-CN"/>
              </w:rPr>
              <w:t>合格</w:t>
            </w:r>
          </w:p>
        </w:tc>
      </w:tr>
    </w:tbl>
    <w:p>
      <w:pPr>
        <w:spacing w:line="560" w:lineRule="exact"/>
        <w:rPr>
          <w:rFonts w:ascii="仿宋" w:hAnsi="仿宋" w:eastAsia="仿宋"/>
          <w:color w:val="000000"/>
          <w:kern w:val="0"/>
          <w:sz w:val="28"/>
        </w:rPr>
      </w:pPr>
    </w:p>
    <w:p>
      <w:pPr>
        <w:spacing w:line="560" w:lineRule="exact"/>
        <w:rPr>
          <w:rFonts w:ascii="仿宋" w:hAnsi="仿宋" w:eastAsia="仿宋"/>
          <w:color w:val="000000"/>
          <w:kern w:val="0"/>
          <w:sz w:val="28"/>
        </w:rPr>
      </w:pPr>
    </w:p>
    <w:p>
      <w:pPr>
        <w:spacing w:line="560" w:lineRule="exact"/>
        <w:rPr>
          <w:rFonts w:ascii="仿宋" w:hAnsi="仿宋" w:eastAsia="仿宋"/>
          <w:color w:val="000000"/>
          <w:kern w:val="0"/>
          <w:sz w:val="28"/>
        </w:rPr>
      </w:pPr>
    </w:p>
    <w:p>
      <w:pPr>
        <w:spacing w:line="560" w:lineRule="exact"/>
        <w:rPr>
          <w:rFonts w:ascii="仿宋" w:hAnsi="仿宋" w:eastAsia="仿宋"/>
          <w:color w:val="000000"/>
          <w:kern w:val="0"/>
          <w:sz w:val="28"/>
        </w:rPr>
      </w:pPr>
    </w:p>
    <w:p>
      <w:pPr>
        <w:spacing w:line="560" w:lineRule="exact"/>
        <w:rPr>
          <w:rFonts w:ascii="仿宋" w:hAnsi="仿宋" w:eastAsia="仿宋"/>
          <w:color w:val="000000"/>
          <w:kern w:val="0"/>
          <w:sz w:val="28"/>
        </w:rPr>
      </w:pPr>
    </w:p>
    <w:p>
      <w:pPr>
        <w:spacing w:line="560" w:lineRule="exact"/>
        <w:rPr>
          <w:rFonts w:ascii="仿宋" w:hAnsi="仿宋" w:eastAsia="仿宋"/>
          <w:color w:val="000000"/>
          <w:kern w:val="0"/>
          <w:sz w:val="28"/>
        </w:rPr>
      </w:pPr>
    </w:p>
    <w:p>
      <w:pPr>
        <w:spacing w:line="480" w:lineRule="exact"/>
        <w:ind w:firstLine="570"/>
        <w:rPr>
          <w:rFonts w:hint="default"/>
        </w:rPr>
      </w:pPr>
    </w:p>
    <w:sectPr>
      <w:head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1404"/>
    <w:rsid w:val="00014C58"/>
    <w:rsid w:val="00014C7E"/>
    <w:rsid w:val="00027D2B"/>
    <w:rsid w:val="000544AC"/>
    <w:rsid w:val="0005786A"/>
    <w:rsid w:val="0009693C"/>
    <w:rsid w:val="000A18AE"/>
    <w:rsid w:val="000A1A42"/>
    <w:rsid w:val="000C01C0"/>
    <w:rsid w:val="000C2712"/>
    <w:rsid w:val="000C4EFF"/>
    <w:rsid w:val="000D5479"/>
    <w:rsid w:val="000E3F97"/>
    <w:rsid w:val="000F1D77"/>
    <w:rsid w:val="00104133"/>
    <w:rsid w:val="00104FDC"/>
    <w:rsid w:val="001304B5"/>
    <w:rsid w:val="00150C0A"/>
    <w:rsid w:val="0016148B"/>
    <w:rsid w:val="001A79E8"/>
    <w:rsid w:val="001C27D8"/>
    <w:rsid w:val="001C337F"/>
    <w:rsid w:val="001D19C9"/>
    <w:rsid w:val="001E3890"/>
    <w:rsid w:val="001F30D5"/>
    <w:rsid w:val="00202736"/>
    <w:rsid w:val="002122C4"/>
    <w:rsid w:val="00213B5D"/>
    <w:rsid w:val="00217983"/>
    <w:rsid w:val="002179CA"/>
    <w:rsid w:val="002546AE"/>
    <w:rsid w:val="00262823"/>
    <w:rsid w:val="002A7E28"/>
    <w:rsid w:val="002B3AE2"/>
    <w:rsid w:val="002C05A3"/>
    <w:rsid w:val="002C1576"/>
    <w:rsid w:val="002D18B7"/>
    <w:rsid w:val="002E6081"/>
    <w:rsid w:val="002E75F7"/>
    <w:rsid w:val="002F2FD4"/>
    <w:rsid w:val="002F30EF"/>
    <w:rsid w:val="003027A3"/>
    <w:rsid w:val="00306D1A"/>
    <w:rsid w:val="00312531"/>
    <w:rsid w:val="0035393F"/>
    <w:rsid w:val="00355C58"/>
    <w:rsid w:val="0036190A"/>
    <w:rsid w:val="00364D33"/>
    <w:rsid w:val="003A1270"/>
    <w:rsid w:val="003A2D1D"/>
    <w:rsid w:val="003A6F0B"/>
    <w:rsid w:val="003A7BBB"/>
    <w:rsid w:val="003B3078"/>
    <w:rsid w:val="003B5329"/>
    <w:rsid w:val="003D12E5"/>
    <w:rsid w:val="003D1983"/>
    <w:rsid w:val="003D5313"/>
    <w:rsid w:val="0042454F"/>
    <w:rsid w:val="004359E2"/>
    <w:rsid w:val="00453DD8"/>
    <w:rsid w:val="00461C49"/>
    <w:rsid w:val="00461D3E"/>
    <w:rsid w:val="00477ADC"/>
    <w:rsid w:val="004A1404"/>
    <w:rsid w:val="004D0E9D"/>
    <w:rsid w:val="004D2913"/>
    <w:rsid w:val="004F53BC"/>
    <w:rsid w:val="0050669A"/>
    <w:rsid w:val="00530390"/>
    <w:rsid w:val="00542E77"/>
    <w:rsid w:val="00563F14"/>
    <w:rsid w:val="0057025F"/>
    <w:rsid w:val="00571EA9"/>
    <w:rsid w:val="0058477B"/>
    <w:rsid w:val="005C6D98"/>
    <w:rsid w:val="00627421"/>
    <w:rsid w:val="00657F32"/>
    <w:rsid w:val="006C3615"/>
    <w:rsid w:val="006D22B5"/>
    <w:rsid w:val="006E472E"/>
    <w:rsid w:val="006F061D"/>
    <w:rsid w:val="00714934"/>
    <w:rsid w:val="00716DF3"/>
    <w:rsid w:val="0072355D"/>
    <w:rsid w:val="00732311"/>
    <w:rsid w:val="00736291"/>
    <w:rsid w:val="0079379F"/>
    <w:rsid w:val="007D051D"/>
    <w:rsid w:val="007F12D5"/>
    <w:rsid w:val="007F3F62"/>
    <w:rsid w:val="0081091E"/>
    <w:rsid w:val="00835E7F"/>
    <w:rsid w:val="008646D2"/>
    <w:rsid w:val="00880724"/>
    <w:rsid w:val="00881229"/>
    <w:rsid w:val="00882653"/>
    <w:rsid w:val="00886DD2"/>
    <w:rsid w:val="00893B39"/>
    <w:rsid w:val="008943E8"/>
    <w:rsid w:val="008975EC"/>
    <w:rsid w:val="008A16B7"/>
    <w:rsid w:val="008A4F4F"/>
    <w:rsid w:val="008D34EF"/>
    <w:rsid w:val="008D5DDD"/>
    <w:rsid w:val="009001D8"/>
    <w:rsid w:val="009062FB"/>
    <w:rsid w:val="00915FBD"/>
    <w:rsid w:val="00927161"/>
    <w:rsid w:val="00936C8B"/>
    <w:rsid w:val="00946D82"/>
    <w:rsid w:val="00952738"/>
    <w:rsid w:val="0095318E"/>
    <w:rsid w:val="00966F93"/>
    <w:rsid w:val="00974D45"/>
    <w:rsid w:val="00985D00"/>
    <w:rsid w:val="00994D45"/>
    <w:rsid w:val="009B2E71"/>
    <w:rsid w:val="009B4043"/>
    <w:rsid w:val="009B714C"/>
    <w:rsid w:val="009C4D78"/>
    <w:rsid w:val="009C7EFE"/>
    <w:rsid w:val="009D7ADC"/>
    <w:rsid w:val="009E1495"/>
    <w:rsid w:val="009E2786"/>
    <w:rsid w:val="009E5282"/>
    <w:rsid w:val="00A001EB"/>
    <w:rsid w:val="00A0632E"/>
    <w:rsid w:val="00A11352"/>
    <w:rsid w:val="00A17723"/>
    <w:rsid w:val="00A2453E"/>
    <w:rsid w:val="00A30DFF"/>
    <w:rsid w:val="00A4512B"/>
    <w:rsid w:val="00A612D5"/>
    <w:rsid w:val="00A66B3A"/>
    <w:rsid w:val="00A97641"/>
    <w:rsid w:val="00AE726C"/>
    <w:rsid w:val="00AE74E9"/>
    <w:rsid w:val="00AF0DBB"/>
    <w:rsid w:val="00B02334"/>
    <w:rsid w:val="00B02F09"/>
    <w:rsid w:val="00B350CA"/>
    <w:rsid w:val="00B353F5"/>
    <w:rsid w:val="00B37BB0"/>
    <w:rsid w:val="00B615F6"/>
    <w:rsid w:val="00BC68CC"/>
    <w:rsid w:val="00BD7ABF"/>
    <w:rsid w:val="00BE1320"/>
    <w:rsid w:val="00C10330"/>
    <w:rsid w:val="00C13439"/>
    <w:rsid w:val="00C2605A"/>
    <w:rsid w:val="00C308C3"/>
    <w:rsid w:val="00C447F3"/>
    <w:rsid w:val="00C578CB"/>
    <w:rsid w:val="00CB33ED"/>
    <w:rsid w:val="00CB5E2C"/>
    <w:rsid w:val="00CC0C19"/>
    <w:rsid w:val="00CD035E"/>
    <w:rsid w:val="00CF2F9D"/>
    <w:rsid w:val="00CF4BD3"/>
    <w:rsid w:val="00D10252"/>
    <w:rsid w:val="00D30FC8"/>
    <w:rsid w:val="00D32BF5"/>
    <w:rsid w:val="00D61CC9"/>
    <w:rsid w:val="00D80E64"/>
    <w:rsid w:val="00D81AD6"/>
    <w:rsid w:val="00D910FA"/>
    <w:rsid w:val="00D95349"/>
    <w:rsid w:val="00DE4B42"/>
    <w:rsid w:val="00E047A0"/>
    <w:rsid w:val="00E269FE"/>
    <w:rsid w:val="00E4242F"/>
    <w:rsid w:val="00E7635D"/>
    <w:rsid w:val="00E76E6F"/>
    <w:rsid w:val="00E82ECD"/>
    <w:rsid w:val="00E86E81"/>
    <w:rsid w:val="00EA724C"/>
    <w:rsid w:val="00EB180A"/>
    <w:rsid w:val="00EC29A7"/>
    <w:rsid w:val="00EC6505"/>
    <w:rsid w:val="00ED0FC3"/>
    <w:rsid w:val="00ED4CE0"/>
    <w:rsid w:val="00EE750E"/>
    <w:rsid w:val="00EF2963"/>
    <w:rsid w:val="00F46D2F"/>
    <w:rsid w:val="00F64CE4"/>
    <w:rsid w:val="00F7180B"/>
    <w:rsid w:val="00F72929"/>
    <w:rsid w:val="00F74A29"/>
    <w:rsid w:val="00F766AF"/>
    <w:rsid w:val="00F83AA6"/>
    <w:rsid w:val="00FD3C04"/>
    <w:rsid w:val="00FD707E"/>
    <w:rsid w:val="00FE5B49"/>
    <w:rsid w:val="00FF31E9"/>
    <w:rsid w:val="00FF410F"/>
    <w:rsid w:val="00FF46EB"/>
    <w:rsid w:val="015123F6"/>
    <w:rsid w:val="02433B9D"/>
    <w:rsid w:val="024E02D1"/>
    <w:rsid w:val="02C15057"/>
    <w:rsid w:val="04663A9A"/>
    <w:rsid w:val="05AE3E64"/>
    <w:rsid w:val="06C57C20"/>
    <w:rsid w:val="07D52EF4"/>
    <w:rsid w:val="0BB97EFD"/>
    <w:rsid w:val="0BC2612F"/>
    <w:rsid w:val="0CFB4E2C"/>
    <w:rsid w:val="0D93160A"/>
    <w:rsid w:val="0DC0328F"/>
    <w:rsid w:val="0E1E6E14"/>
    <w:rsid w:val="0EC86ED0"/>
    <w:rsid w:val="0F817837"/>
    <w:rsid w:val="0FB91756"/>
    <w:rsid w:val="130574D6"/>
    <w:rsid w:val="133543F5"/>
    <w:rsid w:val="142C3A05"/>
    <w:rsid w:val="15C65A74"/>
    <w:rsid w:val="15F224D2"/>
    <w:rsid w:val="19FF5F82"/>
    <w:rsid w:val="1A03234A"/>
    <w:rsid w:val="1AAF5916"/>
    <w:rsid w:val="1CA55CD2"/>
    <w:rsid w:val="1D4B0905"/>
    <w:rsid w:val="1E037B0B"/>
    <w:rsid w:val="26BA1D54"/>
    <w:rsid w:val="272766AA"/>
    <w:rsid w:val="27746890"/>
    <w:rsid w:val="282F6787"/>
    <w:rsid w:val="2A156C4D"/>
    <w:rsid w:val="2B725243"/>
    <w:rsid w:val="2C9F0F18"/>
    <w:rsid w:val="2CDE5D30"/>
    <w:rsid w:val="303D75F2"/>
    <w:rsid w:val="30A874B3"/>
    <w:rsid w:val="32473B99"/>
    <w:rsid w:val="326C1579"/>
    <w:rsid w:val="39BF092B"/>
    <w:rsid w:val="3EC747DE"/>
    <w:rsid w:val="401C3CB0"/>
    <w:rsid w:val="43E7788E"/>
    <w:rsid w:val="46B94A1E"/>
    <w:rsid w:val="478C641D"/>
    <w:rsid w:val="495C0509"/>
    <w:rsid w:val="496E1FA2"/>
    <w:rsid w:val="4BC457B0"/>
    <w:rsid w:val="4D906EAF"/>
    <w:rsid w:val="4E002866"/>
    <w:rsid w:val="501D3071"/>
    <w:rsid w:val="525A1C67"/>
    <w:rsid w:val="53EB2F83"/>
    <w:rsid w:val="54DC4E16"/>
    <w:rsid w:val="5D2A2C63"/>
    <w:rsid w:val="5DA421FD"/>
    <w:rsid w:val="60645658"/>
    <w:rsid w:val="626E5DD0"/>
    <w:rsid w:val="63F66305"/>
    <w:rsid w:val="65E800D2"/>
    <w:rsid w:val="66EE74C4"/>
    <w:rsid w:val="6B7873EB"/>
    <w:rsid w:val="6BD0492D"/>
    <w:rsid w:val="6D116CA2"/>
    <w:rsid w:val="751871B7"/>
    <w:rsid w:val="75366363"/>
    <w:rsid w:val="76204C79"/>
    <w:rsid w:val="79EA58CD"/>
    <w:rsid w:val="7A137C27"/>
    <w:rsid w:val="7A2972F7"/>
    <w:rsid w:val="7A541BAF"/>
    <w:rsid w:val="7BF5012B"/>
    <w:rsid w:val="7DD213F6"/>
    <w:rsid w:val="7F41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2"/>
    <w:unhideWhenUsed/>
    <w:qFormat/>
    <w:uiPriority w:val="0"/>
    <w:pPr>
      <w:jc w:val="left"/>
    </w:pPr>
  </w:style>
  <w:style w:type="paragraph" w:styleId="3">
    <w:name w:val="Balloon Text"/>
    <w:basedOn w:val="1"/>
    <w:link w:val="17"/>
    <w:qFormat/>
    <w:uiPriority w:val="0"/>
    <w:rPr>
      <w:sz w:val="18"/>
    </w:rPr>
  </w:style>
  <w:style w:type="paragraph" w:styleId="4">
    <w:name w:val="footer"/>
    <w:basedOn w:val="1"/>
    <w:link w:val="16"/>
    <w:qFormat/>
    <w:uiPriority w:val="0"/>
    <w:pPr>
      <w:tabs>
        <w:tab w:val="center" w:pos="4153"/>
        <w:tab w:val="right" w:pos="8306"/>
      </w:tabs>
      <w:snapToGrid w:val="0"/>
      <w:jc w:val="left"/>
    </w:pPr>
    <w:rPr>
      <w:sz w:val="18"/>
    </w:rPr>
  </w:style>
  <w:style w:type="paragraph" w:styleId="5">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rPr>
  </w:style>
  <w:style w:type="table" w:styleId="8">
    <w:name w:val="Table Grid"/>
    <w:basedOn w:val="7"/>
    <w:qFormat/>
    <w:uiPriority w:val="59"/>
    <w:pPr>
      <w:ind w:firstLine="567"/>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qFormat/>
    <w:uiPriority w:val="99"/>
    <w:rPr>
      <w:color w:val="0000FF"/>
      <w:u w:val="single"/>
    </w:rPr>
  </w:style>
  <w:style w:type="character" w:styleId="11">
    <w:name w:val="annotation reference"/>
    <w:qFormat/>
    <w:uiPriority w:val="0"/>
    <w:rPr>
      <w:rFonts w:hint="default" w:ascii="Times New Roman"/>
      <w:sz w:val="21"/>
    </w:rPr>
  </w:style>
  <w:style w:type="character" w:customStyle="1" w:styleId="12">
    <w:name w:val="批注文字 Char"/>
    <w:basedOn w:val="9"/>
    <w:link w:val="2"/>
    <w:semiHidden/>
    <w:qFormat/>
    <w:uiPriority w:val="99"/>
    <w:rPr>
      <w:rFonts w:ascii="Times New Roman" w:hAnsi="Times New Roman" w:eastAsia="宋体" w:cs="Times New Roman"/>
      <w:szCs w:val="20"/>
    </w:rPr>
  </w:style>
  <w:style w:type="character" w:customStyle="1" w:styleId="13">
    <w:name w:val="批注主题 Char"/>
    <w:basedOn w:val="12"/>
    <w:link w:val="6"/>
    <w:qFormat/>
    <w:uiPriority w:val="0"/>
    <w:rPr>
      <w:rFonts w:ascii="Times New Roman" w:hAnsi="Times New Roman" w:eastAsia="宋体" w:cs="Times New Roman"/>
      <w:b/>
      <w:szCs w:val="20"/>
    </w:rPr>
  </w:style>
  <w:style w:type="paragraph" w:customStyle="1" w:styleId="14">
    <w:name w:val="Char Char1 Char Char Char Char Char Char"/>
    <w:basedOn w:val="1"/>
    <w:unhideWhenUsed/>
    <w:qFormat/>
    <w:uiPriority w:val="99"/>
    <w:pPr>
      <w:widowControl/>
      <w:spacing w:after="160" w:line="240" w:lineRule="exact"/>
      <w:jc w:val="left"/>
    </w:pPr>
    <w:rPr>
      <w:rFonts w:eastAsia="仿宋_GB2312"/>
      <w:sz w:val="32"/>
    </w:rPr>
  </w:style>
  <w:style w:type="character" w:customStyle="1" w:styleId="15">
    <w:name w:val="页眉 Char"/>
    <w:basedOn w:val="9"/>
    <w:link w:val="5"/>
    <w:qFormat/>
    <w:uiPriority w:val="0"/>
    <w:rPr>
      <w:rFonts w:ascii="Times New Roman" w:hAnsi="Times New Roman" w:eastAsia="宋体" w:cs="Times New Roman"/>
      <w:sz w:val="18"/>
      <w:szCs w:val="20"/>
    </w:rPr>
  </w:style>
  <w:style w:type="character" w:customStyle="1" w:styleId="16">
    <w:name w:val="页脚 Char"/>
    <w:basedOn w:val="9"/>
    <w:link w:val="4"/>
    <w:qFormat/>
    <w:uiPriority w:val="0"/>
    <w:rPr>
      <w:rFonts w:ascii="Times New Roman" w:hAnsi="Times New Roman" w:eastAsia="宋体" w:cs="Times New Roman"/>
      <w:sz w:val="18"/>
      <w:szCs w:val="20"/>
    </w:rPr>
  </w:style>
  <w:style w:type="character" w:customStyle="1" w:styleId="17">
    <w:name w:val="批注框文本 Char"/>
    <w:basedOn w:val="9"/>
    <w:link w:val="3"/>
    <w:qFormat/>
    <w:uiPriority w:val="0"/>
    <w:rPr>
      <w:rFonts w:ascii="Times New Roman" w:hAnsi="Times New Roman" w:eastAsia="宋体" w:cs="Times New Roman"/>
      <w:sz w:val="18"/>
      <w:szCs w:val="20"/>
    </w:rPr>
  </w:style>
  <w:style w:type="paragraph" w:customStyle="1" w:styleId="18">
    <w:name w:val="Char Char Char Char Char Char Char Char Char Char Char Char Char"/>
    <w:basedOn w:val="1"/>
    <w:unhideWhenUsed/>
    <w:qFormat/>
    <w:uiPriority w:val="99"/>
    <w:pPr>
      <w:widowControl/>
      <w:spacing w:after="160" w:line="240" w:lineRule="exact"/>
      <w:jc w:val="left"/>
    </w:pPr>
    <w:rPr>
      <w:rFonts w:hint="default" w:ascii="Arial"/>
      <w:b/>
      <w:sz w:val="24"/>
      <w:lang w:eastAsia="en-US"/>
    </w:rPr>
  </w:style>
  <w:style w:type="paragraph" w:customStyle="1" w:styleId="19">
    <w:name w:val="Char"/>
    <w:basedOn w:val="1"/>
    <w:qFormat/>
    <w:uiPriority w:val="0"/>
    <w:rPr>
      <w:rFonts w:hint="default"/>
      <w:sz w:val="32"/>
      <w:szCs w:val="21"/>
    </w:rPr>
  </w:style>
  <w:style w:type="paragraph" w:customStyle="1" w:styleId="20">
    <w:name w:val="Char Char Char Char"/>
    <w:basedOn w:val="1"/>
    <w:qFormat/>
    <w:uiPriority w:val="0"/>
    <w:pPr>
      <w:widowControl/>
      <w:spacing w:after="160" w:line="240" w:lineRule="exact"/>
      <w:jc w:val="left"/>
    </w:pPr>
    <w:rPr>
      <w:rFonts w:hint="default"/>
    </w:rPr>
  </w:style>
  <w:style w:type="character" w:customStyle="1" w:styleId="21">
    <w:name w:val="font1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1618</Words>
  <Characters>9225</Characters>
  <Lines>76</Lines>
  <Paragraphs>21</Paragraphs>
  <TotalTime>4</TotalTime>
  <ScaleCrop>false</ScaleCrop>
  <LinksUpToDate>false</LinksUpToDate>
  <CharactersWithSpaces>10822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2016-12-15T03:53:00Z</dcterms:created>
  <dc:creator>lenovo</dc:creator>
  <cp:lastModifiedBy>Administrator</cp:lastModifiedBy>
  <cp:lastPrinted>2018-09-25T05:17:00Z</cp:lastPrinted>
  <dcterms:modified xsi:type="dcterms:W3CDTF">2020-07-03T05:21:01Z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